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36" w:rsidRDefault="00B41A24">
      <w:pPr>
        <w:pStyle w:val="a3"/>
        <w:spacing w:beforeLines="0" w:before="312" w:afterLines="0" w:after="312" w:line="560" w:lineRule="exact"/>
        <w:jc w:val="left"/>
        <w:rPr>
          <w:rFonts w:ascii="方正黑体_GBK" w:eastAsia="方正黑体_GBK" w:cs="Times New Roman"/>
          <w:b w:val="0"/>
        </w:rPr>
      </w:pPr>
      <w:bookmarkStart w:id="0" w:name="_GoBack"/>
      <w:bookmarkEnd w:id="0"/>
      <w:r>
        <w:rPr>
          <w:rFonts w:ascii="方正黑体_GBK" w:eastAsia="方正黑体_GBK" w:cs="Times New Roman" w:hint="eastAsia"/>
          <w:b w:val="0"/>
        </w:rPr>
        <w:t>附件</w:t>
      </w:r>
      <w:r>
        <w:rPr>
          <w:rFonts w:ascii="方正黑体_GBK" w:eastAsia="方正黑体_GBK" w:cs="Times New Roman" w:hint="eastAsia"/>
          <w:b w:val="0"/>
        </w:rPr>
        <w:t xml:space="preserve">1 </w:t>
      </w:r>
    </w:p>
    <w:p w:rsidR="00B56F36" w:rsidRDefault="00B41A24">
      <w:pPr>
        <w:pStyle w:val="a3"/>
        <w:spacing w:beforeLines="0" w:before="312" w:afterLines="0" w:after="312" w:line="560" w:lineRule="exact"/>
        <w:rPr>
          <w:rFonts w:ascii="方正小标宋_GBK" w:eastAsia="方正小标宋_GBK" w:cs="方正小标宋_GBK"/>
          <w:b w:val="0"/>
          <w:sz w:val="44"/>
          <w:szCs w:val="44"/>
        </w:rPr>
      </w:pPr>
      <w:r>
        <w:rPr>
          <w:rFonts w:ascii="方正小标宋_GBK" w:eastAsia="方正小标宋_GBK" w:cs="方正小标宋_GBK" w:hint="eastAsia"/>
          <w:b w:val="0"/>
          <w:sz w:val="44"/>
          <w:szCs w:val="44"/>
        </w:rPr>
        <w:t>产品特定原产地规则</w:t>
      </w:r>
    </w:p>
    <w:p w:rsidR="00B56F36" w:rsidRDefault="00B41A24">
      <w:pPr>
        <w:spacing w:line="560" w:lineRule="exact"/>
        <w:jc w:val="center"/>
        <w:rPr>
          <w:rFonts w:ascii="方正黑体_GBK" w:eastAsia="方正黑体_GBK" w:cs="方正黑体_GBK"/>
          <w:sz w:val="32"/>
          <w:szCs w:val="32"/>
        </w:rPr>
      </w:pPr>
      <w:r>
        <w:rPr>
          <w:rFonts w:ascii="方正黑体_GBK" w:eastAsia="方正黑体_GBK" w:cs="方正黑体_GBK" w:hint="eastAsia"/>
          <w:sz w:val="32"/>
          <w:szCs w:val="32"/>
        </w:rPr>
        <w:t>注释</w:t>
      </w:r>
    </w:p>
    <w:p w:rsidR="00B56F36" w:rsidRDefault="00B41A24">
      <w:pPr>
        <w:pStyle w:val="411"/>
        <w:spacing w:after="0" w:line="560" w:lineRule="exact"/>
        <w:ind w:firstLineChars="200" w:firstLine="640"/>
        <w:jc w:val="both"/>
        <w:rPr>
          <w:rFonts w:ascii="方正仿宋_GBK" w:eastAsia="方正仿宋_GBK" w:cs="方正仿宋_GBK"/>
          <w:sz w:val="32"/>
          <w:szCs w:val="32"/>
          <w:lang w:val="en-US" w:eastAsia="zh-CN"/>
        </w:rPr>
      </w:pPr>
      <w:r>
        <w:rPr>
          <w:rFonts w:ascii="方正仿宋_GBK" w:eastAsia="方正仿宋_GBK" w:cs="方正仿宋_GBK"/>
          <w:sz w:val="32"/>
          <w:szCs w:val="32"/>
          <w:lang w:val="en-US" w:eastAsia="zh-CN"/>
        </w:rPr>
        <w:t>一</w:t>
      </w:r>
      <w:r>
        <w:rPr>
          <w:rFonts w:ascii="方正仿宋_GBK" w:eastAsia="方正仿宋_GBK" w:cs="方正仿宋_GBK" w:hint="eastAsia"/>
          <w:sz w:val="32"/>
          <w:szCs w:val="32"/>
          <w:lang w:val="en-US" w:eastAsia="zh-CN"/>
        </w:rPr>
        <w:t>、就本附件中所列的产品特定原产地规则而言：</w:t>
      </w:r>
    </w:p>
    <w:p w:rsidR="00B56F36" w:rsidRDefault="00B41A24">
      <w:pPr>
        <w:pStyle w:val="411"/>
        <w:spacing w:after="0" w:line="560" w:lineRule="exact"/>
        <w:ind w:firstLineChars="200" w:firstLine="640"/>
        <w:jc w:val="both"/>
        <w:rPr>
          <w:rFonts w:ascii="方正仿宋_GBK" w:eastAsia="方正仿宋_GBK" w:cs="方正仿宋_GBK"/>
          <w:sz w:val="32"/>
          <w:szCs w:val="32"/>
          <w:lang w:val="en-US" w:eastAsia="zh-CN"/>
        </w:rPr>
      </w:pPr>
      <w:r>
        <w:rPr>
          <w:rFonts w:ascii="方正仿宋_GBK" w:eastAsia="方正仿宋_GBK" w:cs="方正仿宋_GBK" w:hint="eastAsia"/>
          <w:sz w:val="32"/>
          <w:szCs w:val="32"/>
          <w:lang w:val="en-US" w:eastAsia="zh-CN"/>
        </w:rPr>
        <w:t>（一）“从任何其他章改变至本章、品目或子目”</w:t>
      </w:r>
      <w:r>
        <w:rPr>
          <w:rFonts w:ascii="方正仿宋_GBK" w:eastAsia="方正仿宋_GBK" w:cs="方正仿宋_GBK"/>
          <w:sz w:val="32"/>
          <w:szCs w:val="32"/>
          <w:lang w:val="en-US" w:eastAsia="zh-CN"/>
        </w:rPr>
        <w:t>，</w:t>
      </w:r>
      <w:r>
        <w:rPr>
          <w:rFonts w:ascii="方正仿宋_GBK" w:eastAsia="方正仿宋_GBK" w:cs="方正仿宋_GBK" w:hint="eastAsia"/>
          <w:sz w:val="32"/>
          <w:szCs w:val="32"/>
          <w:lang w:val="en-US" w:eastAsia="zh-CN"/>
        </w:rPr>
        <w:t>表示用于生产货物的所有非原产材料进行了协调制度编码两位数级的税则归类改变</w:t>
      </w:r>
      <w:r>
        <w:rPr>
          <w:rFonts w:ascii="方正仿宋_GBK" w:eastAsia="方正仿宋_GBK" w:cs="方正仿宋_GBK"/>
          <w:sz w:val="32"/>
          <w:szCs w:val="32"/>
          <w:lang w:val="en-US" w:eastAsia="zh-CN"/>
        </w:rPr>
        <w:t>；</w:t>
      </w:r>
    </w:p>
    <w:p w:rsidR="00B56F36" w:rsidRDefault="00B41A24">
      <w:pPr>
        <w:pStyle w:val="411"/>
        <w:spacing w:after="0" w:line="560" w:lineRule="exact"/>
        <w:ind w:firstLineChars="200" w:firstLine="640"/>
        <w:jc w:val="both"/>
        <w:rPr>
          <w:rFonts w:ascii="方正仿宋_GBK" w:eastAsia="方正仿宋_GBK" w:cs="方正仿宋_GBK"/>
          <w:sz w:val="32"/>
          <w:szCs w:val="32"/>
          <w:lang w:val="en-US" w:eastAsia="zh-CN"/>
        </w:rPr>
      </w:pPr>
      <w:r>
        <w:rPr>
          <w:rFonts w:ascii="方正仿宋_GBK" w:eastAsia="方正仿宋_GBK" w:cs="方正仿宋_GBK" w:hint="eastAsia"/>
          <w:sz w:val="32"/>
          <w:szCs w:val="32"/>
          <w:lang w:val="en-US" w:eastAsia="zh-CN"/>
        </w:rPr>
        <w:t>（二）“从任何其他品目改变至本章、品目或子目”</w:t>
      </w:r>
      <w:r>
        <w:rPr>
          <w:rFonts w:ascii="方正仿宋_GBK" w:eastAsia="方正仿宋_GBK" w:cs="方正仿宋_GBK"/>
          <w:sz w:val="32"/>
          <w:szCs w:val="32"/>
          <w:lang w:val="en-US" w:eastAsia="zh-CN"/>
        </w:rPr>
        <w:t>，</w:t>
      </w:r>
      <w:r>
        <w:rPr>
          <w:rFonts w:ascii="方正仿宋_GBK" w:eastAsia="方正仿宋_GBK" w:cs="方正仿宋_GBK" w:hint="eastAsia"/>
          <w:sz w:val="32"/>
          <w:szCs w:val="32"/>
          <w:lang w:val="en-US" w:eastAsia="zh-CN"/>
        </w:rPr>
        <w:t>表示用于生产货物的所有非原产材料进行了协调制度编码四位数级的税则归类改变</w:t>
      </w:r>
      <w:r>
        <w:rPr>
          <w:rFonts w:ascii="方正仿宋_GBK" w:eastAsia="方正仿宋_GBK" w:cs="方正仿宋_GBK"/>
          <w:sz w:val="32"/>
          <w:szCs w:val="32"/>
          <w:lang w:val="en-US" w:eastAsia="zh-CN"/>
        </w:rPr>
        <w:t>；</w:t>
      </w:r>
    </w:p>
    <w:p w:rsidR="00B56F36" w:rsidRDefault="00B41A24">
      <w:pPr>
        <w:pStyle w:val="11"/>
        <w:spacing w:after="0" w:line="560" w:lineRule="exact"/>
        <w:ind w:firstLineChars="200" w:firstLine="640"/>
        <w:jc w:val="both"/>
        <w:rPr>
          <w:rFonts w:ascii="Times New Roman" w:eastAsia="方正仿宋_GBK" w:cs="Times New Roman"/>
          <w:sz w:val="32"/>
          <w:szCs w:val="32"/>
        </w:rPr>
      </w:pPr>
      <w:r>
        <w:rPr>
          <w:rFonts w:ascii="Times New Roman" w:eastAsia="方正仿宋_GBK" w:cs="Times New Roman"/>
          <w:sz w:val="32"/>
          <w:szCs w:val="32"/>
        </w:rPr>
        <w:t>（三）</w:t>
      </w:r>
      <w:r>
        <w:rPr>
          <w:rFonts w:ascii="Times New Roman" w:eastAsia="方正仿宋_GBK" w:cs="Times New Roman" w:hint="eastAsia"/>
          <w:sz w:val="32"/>
          <w:szCs w:val="32"/>
        </w:rPr>
        <w:t>“</w:t>
      </w:r>
      <w:r>
        <w:rPr>
          <w:rFonts w:ascii="Times New Roman" w:eastAsia="方正仿宋_GBK" w:cs="Times New Roman"/>
          <w:sz w:val="32"/>
          <w:szCs w:val="32"/>
        </w:rPr>
        <w:t>区域价值成分百分比</w:t>
      </w:r>
      <w:r>
        <w:rPr>
          <w:rFonts w:ascii="Times New Roman" w:eastAsia="方正仿宋_GBK" w:cs="Times New Roman" w:hint="eastAsia"/>
          <w:sz w:val="32"/>
          <w:szCs w:val="32"/>
        </w:rPr>
        <w:t>”</w:t>
      </w:r>
      <w:r>
        <w:rPr>
          <w:rFonts w:ascii="Times New Roman" w:eastAsia="方正仿宋_GBK" w:cs="Times New Roman"/>
          <w:sz w:val="32"/>
          <w:szCs w:val="32"/>
        </w:rPr>
        <w:t>表示按照本办法第六条进行计算的区域价值成分的最小百分比要求；</w:t>
      </w:r>
    </w:p>
    <w:p w:rsidR="00B56F36" w:rsidRDefault="00B41A24">
      <w:pPr>
        <w:pStyle w:val="11"/>
        <w:spacing w:after="0" w:line="560" w:lineRule="exact"/>
        <w:ind w:firstLineChars="200" w:firstLine="640"/>
        <w:jc w:val="both"/>
        <w:rPr>
          <w:rFonts w:ascii="Times New Roman" w:eastAsia="方正仿宋_GBK" w:cs="Times New Roman"/>
          <w:sz w:val="32"/>
          <w:szCs w:val="32"/>
        </w:rPr>
      </w:pPr>
      <w:r>
        <w:rPr>
          <w:rFonts w:ascii="方正仿宋_GBK" w:eastAsia="方正仿宋_GBK" w:cs="方正仿宋_GBK"/>
          <w:sz w:val="32"/>
          <w:szCs w:val="32"/>
          <w:lang w:val="en-US" w:eastAsia="zh-CN"/>
        </w:rPr>
        <w:t>（四）</w:t>
      </w:r>
      <w:r>
        <w:rPr>
          <w:rFonts w:ascii="方正仿宋_GBK" w:eastAsia="方正仿宋_GBK" w:cs="方正仿宋_GBK" w:hint="eastAsia"/>
          <w:sz w:val="32"/>
          <w:szCs w:val="32"/>
          <w:lang w:val="en-US" w:eastAsia="zh-CN"/>
        </w:rPr>
        <w:t>“完全获得”</w:t>
      </w:r>
      <w:r>
        <w:rPr>
          <w:rFonts w:ascii="方正仿宋_GBK" w:eastAsia="方正仿宋_GBK" w:cs="方正仿宋_GBK"/>
          <w:sz w:val="32"/>
          <w:szCs w:val="32"/>
          <w:lang w:val="en-US" w:eastAsia="zh-CN"/>
        </w:rPr>
        <w:t>表示货物</w:t>
      </w:r>
      <w:r>
        <w:rPr>
          <w:rFonts w:ascii="方正仿宋_GBK" w:eastAsia="方正仿宋_GBK" w:cs="方正仿宋_GBK" w:hint="eastAsia"/>
          <w:sz w:val="32"/>
          <w:szCs w:val="32"/>
          <w:lang w:val="en-US" w:eastAsia="zh-CN"/>
        </w:rPr>
        <w:t>按照本办法第四条规定在中国或者</w:t>
      </w:r>
      <w:r>
        <w:rPr>
          <w:rFonts w:ascii="方正仿宋_GBK" w:eastAsia="方正仿宋_GBK" w:cs="方正仿宋_GBK"/>
          <w:sz w:val="32"/>
          <w:szCs w:val="32"/>
          <w:lang w:val="en-US" w:eastAsia="zh-CN"/>
        </w:rPr>
        <w:t>马尔代夫</w:t>
      </w:r>
      <w:r>
        <w:rPr>
          <w:rFonts w:ascii="方正仿宋_GBK" w:eastAsia="方正仿宋_GBK" w:cs="方正仿宋_GBK" w:hint="eastAsia"/>
          <w:sz w:val="32"/>
          <w:szCs w:val="32"/>
          <w:lang w:val="en-US" w:eastAsia="zh-CN"/>
        </w:rPr>
        <w:t>完全获得或生产。</w:t>
      </w:r>
    </w:p>
    <w:p w:rsidR="00B56F36" w:rsidRDefault="00B41A24">
      <w:pPr>
        <w:pStyle w:val="11"/>
        <w:spacing w:after="0" w:line="560" w:lineRule="exact"/>
        <w:ind w:firstLineChars="200" w:firstLine="640"/>
        <w:jc w:val="both"/>
        <w:rPr>
          <w:rFonts w:ascii="方正仿宋_GBK" w:eastAsia="方正仿宋_GBK" w:cs="方正仿宋_GBK"/>
          <w:sz w:val="32"/>
          <w:szCs w:val="32"/>
          <w:lang w:val="en-US" w:eastAsia="zh-CN"/>
        </w:rPr>
      </w:pPr>
      <w:r>
        <w:rPr>
          <w:rFonts w:ascii="Times New Roman" w:eastAsia="方正仿宋_GBK" w:cs="Times New Roman"/>
          <w:sz w:val="32"/>
          <w:szCs w:val="32"/>
        </w:rPr>
        <w:t>二、</w:t>
      </w:r>
      <w:r>
        <w:rPr>
          <w:rFonts w:ascii="方正仿宋_GBK" w:eastAsia="方正仿宋_GBK" w:cs="方正仿宋_GBK" w:hint="eastAsia"/>
          <w:sz w:val="32"/>
          <w:szCs w:val="32"/>
          <w:lang w:val="en-US" w:eastAsia="zh-CN"/>
        </w:rPr>
        <w:t>对于按规定可适用废碎料归类的商品，无论是否具体列明，其</w:t>
      </w:r>
      <w:r>
        <w:rPr>
          <w:rFonts w:ascii="方正仿宋_GBK" w:eastAsia="方正仿宋_GBK" w:cs="方正仿宋_GBK"/>
          <w:sz w:val="32"/>
          <w:szCs w:val="32"/>
          <w:lang w:val="en-US" w:eastAsia="zh-CN"/>
        </w:rPr>
        <w:t>产品特定</w:t>
      </w:r>
      <w:r>
        <w:rPr>
          <w:rFonts w:ascii="方正仿宋_GBK" w:eastAsia="方正仿宋_GBK" w:cs="方正仿宋_GBK" w:hint="eastAsia"/>
          <w:sz w:val="32"/>
          <w:szCs w:val="32"/>
          <w:lang w:val="en-US" w:eastAsia="zh-CN"/>
        </w:rPr>
        <w:t>原产地</w:t>
      </w:r>
      <w:r>
        <w:rPr>
          <w:rFonts w:ascii="方正仿宋_GBK" w:eastAsia="方正仿宋_GBK" w:cs="方正仿宋_GBK"/>
          <w:sz w:val="32"/>
          <w:szCs w:val="32"/>
          <w:lang w:val="en-US" w:eastAsia="zh-CN"/>
        </w:rPr>
        <w:t>规则</w:t>
      </w:r>
      <w:r>
        <w:rPr>
          <w:rFonts w:ascii="方正仿宋_GBK" w:eastAsia="方正仿宋_GBK" w:cs="方正仿宋_GBK" w:hint="eastAsia"/>
          <w:sz w:val="32"/>
          <w:szCs w:val="32"/>
          <w:lang w:val="en-US" w:eastAsia="zh-CN"/>
        </w:rPr>
        <w:t>是完全获得。</w:t>
      </w:r>
    </w:p>
    <w:p w:rsidR="00B56F36" w:rsidRDefault="00B41A2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三、本附件以《协调制度（</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版）》为基础制定。</w:t>
      </w:r>
    </w:p>
    <w:p w:rsidR="00B56F36" w:rsidRDefault="00B56F36">
      <w:pPr>
        <w:spacing w:line="560" w:lineRule="exact"/>
        <w:ind w:firstLineChars="200" w:firstLine="640"/>
        <w:rPr>
          <w:rFonts w:ascii="Times New Roman" w:eastAsia="方正仿宋_GBK" w:hAnsi="Times New Roman" w:cs="Times New Roman"/>
          <w:sz w:val="32"/>
          <w:szCs w:val="32"/>
        </w:rPr>
      </w:pP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B56F36" w:rsidRDefault="00B56F36">
      <w:pPr>
        <w:spacing w:line="560" w:lineRule="exact"/>
        <w:rPr>
          <w:rFonts w:ascii="Times New Roman" w:eastAsia="方正仿宋_GBK" w:hAnsi="Times New Roman" w:cs="Times New Roman"/>
          <w:sz w:val="32"/>
          <w:szCs w:val="32"/>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30"/>
        <w:gridCol w:w="4459"/>
        <w:gridCol w:w="3006"/>
      </w:tblGrid>
      <w:tr w:rsidR="00B56F36">
        <w:trPr>
          <w:cantSplit/>
          <w:trHeight w:val="454"/>
          <w:tblHeader/>
          <w:jc w:val="center"/>
        </w:trPr>
        <w:tc>
          <w:tcPr>
            <w:tcW w:w="1530" w:type="dxa"/>
            <w:shd w:val="clear" w:color="auto" w:fill="D9D9D9"/>
            <w:vAlign w:val="center"/>
          </w:tcPr>
          <w:p w:rsidR="00B56F36" w:rsidRDefault="00B41A24">
            <w:pPr>
              <w:spacing w:line="560" w:lineRule="exact"/>
              <w:jc w:val="center"/>
              <w:rPr>
                <w:rFonts w:ascii="方正黑体_GBK" w:eastAsia="方正黑体_GBK" w:cs="Times New Roman"/>
                <w:sz w:val="32"/>
                <w:szCs w:val="32"/>
              </w:rPr>
            </w:pPr>
            <w:r>
              <w:rPr>
                <w:rFonts w:ascii="方正黑体_GBK" w:eastAsia="方正黑体_GBK" w:cs="Times New Roman" w:hint="eastAsia"/>
                <w:sz w:val="32"/>
                <w:szCs w:val="32"/>
              </w:rPr>
              <w:t>税则号列</w:t>
            </w:r>
          </w:p>
        </w:tc>
        <w:tc>
          <w:tcPr>
            <w:tcW w:w="4459" w:type="dxa"/>
            <w:shd w:val="clear" w:color="auto" w:fill="D9D9D9"/>
            <w:noWrap/>
            <w:vAlign w:val="center"/>
          </w:tcPr>
          <w:p w:rsidR="00B56F36" w:rsidRDefault="00B41A24">
            <w:pPr>
              <w:spacing w:line="560" w:lineRule="exact"/>
              <w:jc w:val="center"/>
              <w:rPr>
                <w:rFonts w:ascii="方正黑体_GBK" w:eastAsia="方正黑体_GBK" w:cs="Times New Roman"/>
                <w:sz w:val="32"/>
                <w:szCs w:val="32"/>
              </w:rPr>
            </w:pPr>
            <w:r>
              <w:rPr>
                <w:rFonts w:ascii="方正黑体_GBK" w:eastAsia="方正黑体_GBK" w:cs="Times New Roman" w:hint="eastAsia"/>
                <w:sz w:val="32"/>
                <w:szCs w:val="32"/>
              </w:rPr>
              <w:t>商品描述</w:t>
            </w:r>
          </w:p>
        </w:tc>
        <w:tc>
          <w:tcPr>
            <w:tcW w:w="3006" w:type="dxa"/>
            <w:shd w:val="clear" w:color="auto" w:fill="D9D9D9"/>
            <w:vAlign w:val="center"/>
          </w:tcPr>
          <w:p w:rsidR="00B56F36" w:rsidRDefault="00B41A24">
            <w:pPr>
              <w:spacing w:line="560" w:lineRule="exact"/>
              <w:jc w:val="center"/>
              <w:rPr>
                <w:rFonts w:ascii="方正黑体_GBK" w:eastAsia="方正黑体_GBK" w:cs="Times New Roman"/>
                <w:sz w:val="32"/>
                <w:szCs w:val="32"/>
              </w:rPr>
            </w:pPr>
            <w:r>
              <w:rPr>
                <w:rFonts w:ascii="方正黑体_GBK" w:eastAsia="方正黑体_GBK" w:cs="Times New Roman" w:hint="eastAsia"/>
                <w:sz w:val="32"/>
                <w:szCs w:val="32"/>
              </w:rPr>
              <w:t>产品特定原产地规则</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01</w:t>
            </w:r>
            <w:r>
              <w:rPr>
                <w:rFonts w:ascii="Times New Roman" w:eastAsia="方正仿宋_GBK" w:hAnsi="Times New Roman" w:cs="Times New Roman"/>
                <w:bCs/>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活动物</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在一方出生并饲养</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02</w:t>
            </w:r>
            <w:r>
              <w:rPr>
                <w:rFonts w:ascii="Times New Roman" w:eastAsia="方正仿宋_GBK" w:hAnsi="Times New Roman" w:cs="Times New Roman"/>
                <w:bCs/>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肉及食用杂碎</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从一方出生并饲养的动物获得</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0301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活鱼</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0302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鲜、冷鱼，但品目</w:t>
            </w:r>
            <w:r>
              <w:rPr>
                <w:rFonts w:ascii="Times New Roman" w:eastAsia="方正仿宋_GBK" w:hAnsi="Times New Roman" w:cs="Times New Roman"/>
                <w:sz w:val="32"/>
                <w:szCs w:val="32"/>
              </w:rPr>
              <w:t>0304</w:t>
            </w:r>
            <w:r>
              <w:rPr>
                <w:rFonts w:ascii="Times New Roman" w:eastAsia="方正仿宋_GBK" w:hAnsi="Times New Roman" w:cs="Times New Roman"/>
                <w:sz w:val="32"/>
                <w:szCs w:val="32"/>
              </w:rPr>
              <w:t>的鱼片及其他鱼肉除外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0303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冻鱼，但品目</w:t>
            </w:r>
            <w:r>
              <w:rPr>
                <w:rFonts w:ascii="Times New Roman" w:eastAsia="方正仿宋_GBK" w:hAnsi="Times New Roman" w:cs="Times New Roman"/>
                <w:sz w:val="32"/>
                <w:szCs w:val="32"/>
              </w:rPr>
              <w:t>0304</w:t>
            </w:r>
            <w:r>
              <w:rPr>
                <w:rFonts w:ascii="Times New Roman" w:eastAsia="方正仿宋_GBK" w:hAnsi="Times New Roman" w:cs="Times New Roman"/>
                <w:sz w:val="32"/>
                <w:szCs w:val="32"/>
              </w:rPr>
              <w:t>的鱼片及其他鱼肉除外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0304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鲜、冷、冻鱼片及其他鱼肉（不论是否绞碎）</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0306</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带壳或去壳的甲壳动物，活、鲜、冷、冻、干、盐腌或盐渍的；熏制的带壳或去壳甲壳动物，不论在熏制前或熏制过程中是否烹煮；蒸过或用水煮过的带壳甲壳动物，不论是否冷、冻、干、盐腌或盐渍的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0307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带壳或去壳的软体动物，活、鲜、冷、冻、干、盐腌或盐渍的；熏制的带壳或去壳软体动物，不论在熏制前或熏制过程中是否烹</w:t>
            </w:r>
            <w:r>
              <w:rPr>
                <w:rFonts w:ascii="Times New Roman" w:eastAsia="方正仿宋_GBK" w:hAnsi="Times New Roman" w:cs="Times New Roman"/>
                <w:sz w:val="32"/>
                <w:szCs w:val="32"/>
              </w:rPr>
              <w:lastRenderedPageBreak/>
              <w:t>煮</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0308</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不属于甲壳动物及软体动物的水生无脊椎动物，活、鲜、冷、冻、干、盐腌或盐渍的；熏制的不属于甲壳动物及软体动物的水生无脊椎动物，不论在熏制前或熏制过程中是否烹煮</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04</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乳品；蛋品；天然蜂蜜；其他食用动物产品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从任何其他章改变至本章</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05</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其他动物产品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从任何其他章改变至本章</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0701</w:t>
            </w:r>
          </w:p>
        </w:tc>
        <w:tc>
          <w:tcPr>
            <w:tcW w:w="4459" w:type="dxa"/>
            <w:tcBorders>
              <w:top w:val="single" w:sz="4" w:space="0" w:color="auto"/>
              <w:left w:val="single" w:sz="4" w:space="0" w:color="auto"/>
              <w:right w:val="single" w:sz="4" w:space="0" w:color="auto"/>
            </w:tcBorders>
            <w:noWrap/>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鲜或冷藏的马铃薯</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0702</w:t>
            </w:r>
          </w:p>
        </w:tc>
        <w:tc>
          <w:tcPr>
            <w:tcW w:w="4459" w:type="dxa"/>
            <w:tcBorders>
              <w:top w:val="single" w:sz="4" w:space="0" w:color="auto"/>
              <w:left w:val="single" w:sz="4" w:space="0" w:color="auto"/>
              <w:right w:val="single" w:sz="4" w:space="0" w:color="auto"/>
            </w:tcBorders>
            <w:noWrap/>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鲜或冷藏的番茄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鲜或冷藏的洋葱、青葱、大蒜、韭葱及其他葱属蔬菜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鲜或冷藏的卷心菜、菜花、球茎甘蓝、羽衣甘蓝及类似的食用芥菜类蔬菜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鲜或冷藏的莴苣及菊苣</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0706</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鲜或冷藏的胡萝卜、萝卜、色拉甜菜根、婆罗门参、块根芹、小萝卜及类似的食用根茎</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鲜或冷藏的黄瓜及小黄瓜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0708</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鲜或冷藏的豆类蔬菜，不论是否脱荚</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0709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鲜或冷藏的其他蔬菜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0710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冷冻蔬菜（不论是否蒸煮）</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0711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暂时保藏的蔬菜，但不适于直接食用的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0712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干蔬菜，整个、切块、切片、破碎或制成粉状，但未经进一步加工的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0713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脱荚的干豆，不论是否去皮或分瓣</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0714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鲜、冷、冻或干的木薯、竹芋、兰科植物块茎、菊芋、甘薯及含有高淀粉或菊粉的类似根茎，不论是否切片或制成团粒；西谷茎髓</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鲜或干的其他坚果，不论是否去壳或去皮</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鲜或干的香蕉，包括芭蕉</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鲜或干的椰枣、无花果、菠萝、鳄梨、番石榴、芒果及山竹果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鲜或干的柑橘属水果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0806</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鲜或干的葡萄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鲜的甜瓜</w:t>
            </w:r>
            <w:r>
              <w:rPr>
                <w:rFonts w:ascii="方正仿宋_GBK" w:eastAsia="方正仿宋_GBK" w:cs="方正仿宋_GBK"/>
                <w:sz w:val="32"/>
                <w:szCs w:val="32"/>
              </w:rPr>
              <w:t>（</w:t>
            </w:r>
            <w:r>
              <w:rPr>
                <w:rFonts w:ascii="方正仿宋_GBK" w:eastAsia="方正仿宋_GBK" w:cs="方正仿宋_GBK" w:hint="eastAsia"/>
                <w:sz w:val="32"/>
                <w:szCs w:val="32"/>
              </w:rPr>
              <w:t>包括西瓜</w:t>
            </w:r>
            <w:r>
              <w:rPr>
                <w:rFonts w:ascii="方正仿宋_GBK" w:eastAsia="方正仿宋_GBK" w:cs="方正仿宋_GBK"/>
                <w:sz w:val="32"/>
                <w:szCs w:val="32"/>
              </w:rPr>
              <w:t>）</w:t>
            </w:r>
            <w:r>
              <w:rPr>
                <w:rFonts w:ascii="方正仿宋_GBK" w:eastAsia="方正仿宋_GBK" w:cs="方正仿宋_GBK" w:hint="eastAsia"/>
                <w:sz w:val="32"/>
                <w:szCs w:val="32"/>
              </w:rPr>
              <w:t xml:space="preserve"> </w:t>
            </w:r>
            <w:r>
              <w:rPr>
                <w:rFonts w:ascii="Times New Roman" w:eastAsia="方正仿宋_GBK" w:hAnsi="Times New Roman" w:cs="Times New Roman"/>
                <w:sz w:val="32"/>
                <w:szCs w:val="32"/>
              </w:rPr>
              <w:t>及番木瓜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0808</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鲜的苹果、梨及榅桲</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0809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鲜的杏、樱桃、</w:t>
            </w:r>
            <w:r>
              <w:rPr>
                <w:rFonts w:ascii="方正仿宋_GBK" w:eastAsia="方正仿宋_GBK" w:cs="方正仿宋_GBK" w:hint="eastAsia"/>
                <w:sz w:val="32"/>
                <w:szCs w:val="32"/>
              </w:rPr>
              <w:t>桃</w:t>
            </w:r>
            <w:r>
              <w:rPr>
                <w:rFonts w:ascii="方正仿宋_GBK" w:eastAsia="方正仿宋_GBK" w:cs="方正仿宋_GBK"/>
                <w:sz w:val="32"/>
                <w:szCs w:val="32"/>
              </w:rPr>
              <w:t>（</w:t>
            </w:r>
            <w:r>
              <w:rPr>
                <w:rFonts w:ascii="方正仿宋_GBK" w:eastAsia="方正仿宋_GBK" w:cs="方正仿宋_GBK" w:hint="eastAsia"/>
                <w:sz w:val="32"/>
                <w:szCs w:val="32"/>
              </w:rPr>
              <w:t>包括油桃</w:t>
            </w:r>
            <w:r>
              <w:rPr>
                <w:rFonts w:ascii="方正仿宋_GBK" w:eastAsia="方正仿宋_GBK" w:cs="方正仿宋_GBK"/>
                <w:sz w:val="32"/>
                <w:szCs w:val="32"/>
              </w:rPr>
              <w:t>）</w:t>
            </w:r>
            <w:r>
              <w:rPr>
                <w:rFonts w:ascii="Times New Roman" w:eastAsia="方正仿宋_GBK" w:hAnsi="Times New Roman" w:cs="Times New Roman"/>
                <w:sz w:val="32"/>
                <w:szCs w:val="32"/>
              </w:rPr>
              <w:t>、李及黑刺李</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0810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其他鲜果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0813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税号</w:t>
            </w:r>
            <w:r>
              <w:rPr>
                <w:rFonts w:ascii="Times New Roman" w:eastAsia="方正仿宋_GBK" w:hAnsi="Times New Roman" w:cs="Times New Roman"/>
                <w:sz w:val="32"/>
                <w:szCs w:val="32"/>
              </w:rPr>
              <w:t>0801</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0806</w:t>
            </w:r>
            <w:r>
              <w:rPr>
                <w:rFonts w:ascii="Times New Roman" w:eastAsia="方正仿宋_GBK" w:hAnsi="Times New Roman" w:cs="Times New Roman"/>
                <w:sz w:val="32"/>
                <w:szCs w:val="32"/>
              </w:rPr>
              <w:t>以外的干果；本章的什锦坚果或干果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0814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柑橘属水果或甜瓜（包括西瓜）的果皮，鲜、冻、干或用盐水、亚硫酸水或其他防腐液暂时保藏的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0901.11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未焙炒的咖啡，未浸除咖啡碱</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0901.12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未焙炒的咖啡，已浸除咖啡碱</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0901.21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已焙炒的咖啡，未浸除咖啡碱</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从任何其他品目改变至本子目，且满足区域价值成分</w:t>
            </w:r>
            <w:r>
              <w:rPr>
                <w:rFonts w:ascii="Times New Roman" w:eastAsia="方正仿宋_GBK" w:hAnsi="Times New Roman" w:cs="Times New Roman"/>
                <w:sz w:val="32"/>
                <w:szCs w:val="32"/>
              </w:rPr>
              <w:t>40%</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0901.22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已焙炒的咖啡，已浸除咖啡碱</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从任何其他品目改变至本子目，且满足区域价值成分</w:t>
            </w:r>
            <w:r>
              <w:rPr>
                <w:rFonts w:ascii="Times New Roman" w:eastAsia="方正仿宋_GBK" w:hAnsi="Times New Roman" w:cs="Times New Roman"/>
                <w:sz w:val="32"/>
                <w:szCs w:val="32"/>
              </w:rPr>
              <w:t>40%</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0901.90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咖啡豆荚及咖啡豆皮；含咖啡的咖啡代用品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从任何其他品目改变至本子目，且满足区域价值成分</w:t>
            </w:r>
            <w:r>
              <w:rPr>
                <w:rFonts w:ascii="Times New Roman" w:eastAsia="方正仿宋_GBK" w:hAnsi="Times New Roman" w:cs="Times New Roman"/>
                <w:sz w:val="32"/>
                <w:szCs w:val="32"/>
              </w:rPr>
              <w:t>40%</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0902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茶，不论是否加香料</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谷物</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含油子仁及果实；杂项子仁及果实；工业用或药用植物；稻草、秸秆及饲料</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从任何其他章改变至本章</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1507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豆油及其分离品，不论是否精制，但未经化学改性</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1508</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花生油及其分离品，不论是否精制，但未经化学改性</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1509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油橄榄油及其分离品，不论是否精制，但未经化学改性</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其他橄榄油及其分离品，不论是否精制，但未经化学改性，包括掺有税号</w:t>
            </w:r>
            <w:r>
              <w:rPr>
                <w:rFonts w:ascii="Times New Roman" w:eastAsia="方正仿宋_GBK" w:hAnsi="Times New Roman" w:cs="Times New Roman"/>
                <w:sz w:val="32"/>
                <w:szCs w:val="32"/>
              </w:rPr>
              <w:t>1509</w:t>
            </w:r>
            <w:r>
              <w:rPr>
                <w:rFonts w:ascii="Times New Roman" w:eastAsia="方正仿宋_GBK" w:hAnsi="Times New Roman" w:cs="Times New Roman"/>
                <w:sz w:val="32"/>
                <w:szCs w:val="32"/>
              </w:rPr>
              <w:t>的油或分离品的混合物</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棕榈油及其分离品，不论是否精制，但未经化学改性</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葵花油、红花油或棉子油及其分离品，不论是否精制，但未经化学改性</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1513.11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初榨椰子油</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1513.19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椰子油及其分离品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菜子油或芥子油及其分离品，不论是否精制，但未经化学改性</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其他固定植物油、脂（包括希蒙得木油）及其分离品，不论是否精制，但未经化学改性</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1517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人造黄油；本章各种动、植物油、脂及其分离品混合制成的食用油、脂或制品，但品目</w:t>
            </w:r>
            <w:r>
              <w:rPr>
                <w:rFonts w:ascii="Times New Roman" w:eastAsia="方正仿宋_GBK" w:hAnsi="Times New Roman" w:cs="Times New Roman"/>
                <w:sz w:val="32"/>
                <w:szCs w:val="32"/>
              </w:rPr>
              <w:t>1516</w:t>
            </w:r>
            <w:r>
              <w:rPr>
                <w:rFonts w:ascii="Times New Roman" w:eastAsia="方正仿宋_GBK" w:hAnsi="Times New Roman" w:cs="Times New Roman"/>
                <w:sz w:val="32"/>
                <w:szCs w:val="32"/>
              </w:rPr>
              <w:t>的食用油、脂及其分离品除外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肉、鱼、甲壳动物、软体动物及其他水生无脊椎动物的制品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从任何其他章改变至本章</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1701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固体甘蔗糖、甜菜糖及化学纯蔗糖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1702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其他固体糖，包括化学纯乳糖、麦芽糖、葡萄糖及果糖；未加香料或着色剂的糖浆；人造蜜，不论是否掺有天然蜂蜜；焦糖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1703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制糖后所剩的糖蜜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1704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不含可可的糖食（包括白巧克力）</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从任何其他品目改变至本品目，或者区域价值成分</w:t>
            </w:r>
            <w:r>
              <w:rPr>
                <w:rFonts w:ascii="Times New Roman" w:eastAsia="方正仿宋_GBK" w:hAnsi="Times New Roman" w:cs="Times New Roman"/>
                <w:sz w:val="32"/>
                <w:szCs w:val="32"/>
              </w:rPr>
              <w:t>40%</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1801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整颗或破碎的可可豆，生的或焙炒的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1802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可可荚、壳、皮及废料</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1803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可可膏，不论是否脱脂</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1804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可可脂、可可油</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1805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未加糖或其他甜物质的可可粉</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1901.10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供婴幼儿食用的零售包装食品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从任何其他章改变至本子目，但从第</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章改变至本子目除外。</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1901.20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供烘焙税号</w:t>
            </w:r>
            <w:r>
              <w:rPr>
                <w:rFonts w:ascii="Times New Roman" w:eastAsia="方正仿宋_GBK" w:hAnsi="Times New Roman" w:cs="Times New Roman"/>
                <w:sz w:val="32"/>
                <w:szCs w:val="32"/>
              </w:rPr>
              <w:t>1905</w:t>
            </w:r>
            <w:r>
              <w:rPr>
                <w:rFonts w:ascii="Times New Roman" w:eastAsia="方正仿宋_GBK" w:hAnsi="Times New Roman" w:cs="Times New Roman"/>
                <w:sz w:val="32"/>
                <w:szCs w:val="32"/>
              </w:rPr>
              <w:t>所列面包糕饼用的调制品及面团</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1901.90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1902.11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含蛋</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1902.19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1902.20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包馅面食，不论是否烹煮或经其他方法制作</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1902.30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其他面食</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1902.40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古斯古斯面食</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珍粉及淀粉制成的珍粉代用品，片、粒、珠、粉或类似形状的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谷物或谷物产品经膨化或烘炒制成的食品（例如，玉米片）；其他税目未列名的预煮或经其他方法制作的谷粒</w:t>
            </w:r>
            <w:r>
              <w:rPr>
                <w:rFonts w:ascii="方正仿宋_GBK" w:eastAsia="方正仿宋_GBK" w:cs="方正仿宋_GBK" w:hint="eastAsia"/>
                <w:sz w:val="32"/>
                <w:szCs w:val="32"/>
              </w:rPr>
              <w:t>(</w:t>
            </w:r>
            <w:r>
              <w:rPr>
                <w:rFonts w:ascii="方正仿宋_GBK" w:eastAsia="方正仿宋_GBK" w:cs="方正仿宋_GBK" w:hint="eastAsia"/>
                <w:sz w:val="32"/>
                <w:szCs w:val="32"/>
              </w:rPr>
              <w:t>玉米除外</w:t>
            </w:r>
            <w:r>
              <w:rPr>
                <w:rFonts w:ascii="方正仿宋_GBK" w:eastAsia="方正仿宋_GBK" w:cs="方正仿宋_GBK" w:hint="eastAsia"/>
                <w:sz w:val="32"/>
                <w:szCs w:val="32"/>
              </w:rPr>
              <w:t>)</w:t>
            </w:r>
            <w:r>
              <w:rPr>
                <w:rFonts w:ascii="Times New Roman" w:eastAsia="方正仿宋_GBK" w:hAnsi="Times New Roman" w:cs="Times New Roman"/>
                <w:sz w:val="32"/>
                <w:szCs w:val="32"/>
              </w:rPr>
              <w:t>，谷物片或经其他加工的谷粒（细粉、粗粒及粗粉除外）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1905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面包、糕点、饼干及其他烘焙糕饼，不论是否含可可；圣餐饼、装药空囊、封缄、糯米纸及类似制品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蔬菜、水果、坚果或植物其他部分的制品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从任何其他章改变至本章</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2103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调味汁及其制品；混合调味品；芥子粉及其调制品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2104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汤料及其制品；均化混合食品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2106</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其他税号未列名的食品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2301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不适于供人食用的肉、杂碎、鱼、甲壳动物、软体动物或其他水生无脊椎动物的渣粉及团粒；油渣</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2306</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税号</w:t>
            </w:r>
            <w:r>
              <w:rPr>
                <w:rFonts w:ascii="Times New Roman" w:eastAsia="方正仿宋_GBK" w:hAnsi="Times New Roman" w:cs="Times New Roman"/>
                <w:sz w:val="32"/>
                <w:szCs w:val="32"/>
              </w:rPr>
              <w:t>2304</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2305</w:t>
            </w:r>
            <w:r>
              <w:rPr>
                <w:rFonts w:ascii="Times New Roman" w:eastAsia="方正仿宋_GBK" w:hAnsi="Times New Roman" w:cs="Times New Roman"/>
                <w:sz w:val="32"/>
                <w:szCs w:val="32"/>
              </w:rPr>
              <w:t>以外的提炼植物或微生物油脂所得的油渣饼及其他固体残渣，不论是否碾磨或制成团粒</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2309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配制的动物饲料</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3304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美容品或化妆品及护肤品（药品除外），包括防晒油或晒黑油；指（趾）甲化妆品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从任何其他品目改变至本品目，或者区域价值成分</w:t>
            </w:r>
            <w:r>
              <w:rPr>
                <w:rFonts w:ascii="Times New Roman" w:eastAsia="方正仿宋_GBK" w:hAnsi="Times New Roman" w:cs="Times New Roman"/>
                <w:sz w:val="32"/>
                <w:szCs w:val="32"/>
              </w:rPr>
              <w:t>40%</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3305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护发品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从任何其他品目改变至本品目，或者区域价值成分</w:t>
            </w:r>
            <w:r>
              <w:rPr>
                <w:rFonts w:ascii="Times New Roman" w:eastAsia="方正仿宋_GBK" w:hAnsi="Times New Roman" w:cs="Times New Roman"/>
                <w:sz w:val="32"/>
                <w:szCs w:val="32"/>
              </w:rPr>
              <w:t>40%</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4001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天然橡胶、巴拉塔胶、古塔波胶、银胶菊胶、糖胶树胶及类似的天然树胶，初级形状或板、片、带</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4202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衣箱、提箱、小手袋、公文箱、公文包、书包、眼镜盒、望远镜盒、照相机套、乐器盒、枪套及类似容器；旅行包、食品或饮料保温包、化妆包、帆布包、手提包、购物袋、钱夹、钱包、地图盒、烟盒、烟袋、工具包、运动包、瓶盒、首饰盒、粉盒、刀叉餐具盒及类似容器，用皮革或再生皮革、塑料片、纺织材料、钢纸或纸板制成，或者全部或主要用上述材料或纸包覆制成</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从任何其他品目改变至本品目，或者区域价值成分</w:t>
            </w:r>
            <w:r>
              <w:rPr>
                <w:rFonts w:ascii="Times New Roman" w:eastAsia="方正仿宋_GBK" w:hAnsi="Times New Roman" w:cs="Times New Roman"/>
                <w:sz w:val="32"/>
                <w:szCs w:val="32"/>
              </w:rPr>
              <w:t>35%</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4414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木制的画框、相框、镜框及类似品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从任何其他品目改变至本品目，或者区域价值成分</w:t>
            </w:r>
            <w:r>
              <w:rPr>
                <w:rFonts w:ascii="Times New Roman" w:eastAsia="方正仿宋_GBK" w:hAnsi="Times New Roman" w:cs="Times New Roman"/>
                <w:sz w:val="32"/>
                <w:szCs w:val="32"/>
              </w:rPr>
              <w:t>35%</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4415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包装木箱、木盒、板条箱、圆桶及类似的木制包装容器；木制电缆卷筒；木托板、箱形托盘及其他装载用木板；木制的托盘护框</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4417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木制的工具、工具支架、工具柄、扫帚及刷子的身及柄；木制鞋靴楦及楦头</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46</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稻草、秸杆、针茅或其他编结材料制品；篮筐及柳编条编结品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从任何其他品目改变至本章</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4817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纸或纸板制的信封、封缄信片、素色明信片及通信卡片；纸或纸板制的盒子、袋子及夹子，内装各种纸制文具</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4819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纸、纸板、纤维素絮纸或纤维素纤维网纸制的箱、盒、匣、袋及其他包装容器；纸或纸板制的卷宗盒、信件盘及类似品，供办公室、商店及类似场所使用的</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4909</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印刷或有图画的明信片；印有个人问候、祝贺、通告的卡片，不论是否有图画、带信封或饰边</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4910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印刷的各种日历，包括日历芯</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4911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其他印刷品，包括印刷的图片及照片</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5201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未梳的棉花</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5202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废棉（包括废棉纱线及回收纤维）</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完全获得</w:t>
            </w:r>
          </w:p>
        </w:tc>
      </w:tr>
      <w:tr w:rsidR="00B56F36">
        <w:trPr>
          <w:cantSplit/>
          <w:trHeight w:val="454"/>
          <w:jc w:val="center"/>
        </w:trPr>
        <w:tc>
          <w:tcPr>
            <w:tcW w:w="1530" w:type="dxa"/>
            <w:tcBorders>
              <w:top w:val="single" w:sz="4" w:space="0" w:color="auto"/>
              <w:left w:val="single" w:sz="4" w:space="0" w:color="auto"/>
              <w:right w:val="single" w:sz="4" w:space="0" w:color="auto"/>
            </w:tcBorders>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5203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已梳的棉花</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从任何其他章改变至本品目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5702.20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椰壳纤维制的铺地制品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5807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非绣制的纺织材料制标签、徽章及类似品，成匹、成条或裁成一定形状或尺寸</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5808</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成匹的编带；非绣制的成匹装饰带，但针织或钩编的除外；流苏、绒球及类似制品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5810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成匹、成条或成小块图案的刺绣品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61</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针织或钩编的服装及衣着附件</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从下列材料经过裁剪和部件车缝制成成品（对于服装和帐篷）并且经过刺绣、修饰或印花工序（对于制成品）：</w:t>
            </w:r>
            <w:r>
              <w:rPr>
                <w:rFonts w:ascii="Times New Roman" w:eastAsia="方正仿宋_GBK" w:hAnsi="Times New Roman" w:cs="Times New Roman"/>
                <w:sz w:val="32"/>
                <w:szCs w:val="32"/>
              </w:rPr>
              <w:br/>
              <w:t>—</w:t>
            </w:r>
            <w:r>
              <w:rPr>
                <w:rFonts w:ascii="Times New Roman" w:eastAsia="方正仿宋_GBK" w:hAnsi="Times New Roman" w:cs="Times New Roman"/>
                <w:sz w:val="32"/>
                <w:szCs w:val="32"/>
              </w:rPr>
              <w:t>未经加工或未漂白的织物。</w:t>
            </w:r>
            <w:r>
              <w:rPr>
                <w:rFonts w:ascii="Times New Roman" w:eastAsia="方正仿宋_GBK" w:hAnsi="Times New Roman" w:cs="Times New Roman"/>
                <w:sz w:val="32"/>
                <w:szCs w:val="32"/>
              </w:rPr>
              <w:br/>
              <w:t>—</w:t>
            </w:r>
            <w:r>
              <w:rPr>
                <w:rFonts w:ascii="Times New Roman" w:eastAsia="方正仿宋_GBK" w:hAnsi="Times New Roman" w:cs="Times New Roman"/>
                <w:sz w:val="32"/>
                <w:szCs w:val="32"/>
              </w:rPr>
              <w:t>经整理的织物。</w:t>
            </w: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br/>
              <w:t xml:space="preserve">2. </w:t>
            </w:r>
            <w:r>
              <w:rPr>
                <w:rFonts w:ascii="Times New Roman" w:eastAsia="方正仿宋_GBK" w:hAnsi="Times New Roman" w:cs="Times New Roman"/>
                <w:sz w:val="32"/>
                <w:szCs w:val="32"/>
              </w:rPr>
              <w:t>在可见位置的刺绣、修饰或印花。</w:t>
            </w: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并且区域价值成分不少于</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62</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非针织或非钩编的服装及衣着附件</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从下列材料经过裁剪和部件车缝制成成品（对于服装和帐篷）并且经过刺绣、修饰或印花工序（对于制成品）：</w:t>
            </w:r>
            <w:r>
              <w:rPr>
                <w:rFonts w:ascii="Times New Roman" w:eastAsia="方正仿宋_GBK" w:hAnsi="Times New Roman" w:cs="Times New Roman"/>
                <w:sz w:val="32"/>
                <w:szCs w:val="32"/>
              </w:rPr>
              <w:br/>
              <w:t>—</w:t>
            </w:r>
            <w:r>
              <w:rPr>
                <w:rFonts w:ascii="Times New Roman" w:eastAsia="方正仿宋_GBK" w:hAnsi="Times New Roman" w:cs="Times New Roman"/>
                <w:sz w:val="32"/>
                <w:szCs w:val="32"/>
              </w:rPr>
              <w:t>未经加工或未漂白的织物。</w:t>
            </w:r>
            <w:r>
              <w:rPr>
                <w:rFonts w:ascii="Times New Roman" w:eastAsia="方正仿宋_GBK" w:hAnsi="Times New Roman" w:cs="Times New Roman"/>
                <w:sz w:val="32"/>
                <w:szCs w:val="32"/>
              </w:rPr>
              <w:br/>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经整理的织物。</w:t>
            </w: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br/>
              <w:t xml:space="preserve">2. </w:t>
            </w:r>
            <w:r>
              <w:rPr>
                <w:rFonts w:ascii="Times New Roman" w:eastAsia="方正仿宋_GBK" w:hAnsi="Times New Roman" w:cs="Times New Roman"/>
                <w:sz w:val="32"/>
                <w:szCs w:val="32"/>
              </w:rPr>
              <w:t>在可见位置的刺绣、修饰或印花。</w:t>
            </w: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并且区域价值成分不少于</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63</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其他纺织制成品；成套物品；旧衣着及旧纺织品；碎织物</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从下列材料经过裁剪和部件车缝制成成品（对于服装和帐篷）并且经过刺绣、修饰或印花工序（对于制成品）：</w:t>
            </w:r>
            <w:r>
              <w:rPr>
                <w:rFonts w:ascii="Times New Roman" w:eastAsia="方正仿宋_GBK" w:hAnsi="Times New Roman" w:cs="Times New Roman"/>
                <w:sz w:val="32"/>
                <w:szCs w:val="32"/>
              </w:rPr>
              <w:br/>
              <w:t>—</w:t>
            </w:r>
            <w:r>
              <w:rPr>
                <w:rFonts w:ascii="Times New Roman" w:eastAsia="方正仿宋_GBK" w:hAnsi="Times New Roman" w:cs="Times New Roman"/>
                <w:sz w:val="32"/>
                <w:szCs w:val="32"/>
              </w:rPr>
              <w:t>未经加工或未漂白的织物。</w:t>
            </w:r>
            <w:r>
              <w:rPr>
                <w:rFonts w:ascii="Times New Roman" w:eastAsia="方正仿宋_GBK" w:hAnsi="Times New Roman" w:cs="Times New Roman"/>
                <w:sz w:val="32"/>
                <w:szCs w:val="32"/>
              </w:rPr>
              <w:br/>
              <w:t>—</w:t>
            </w:r>
            <w:r>
              <w:rPr>
                <w:rFonts w:ascii="Times New Roman" w:eastAsia="方正仿宋_GBK" w:hAnsi="Times New Roman" w:cs="Times New Roman"/>
                <w:sz w:val="32"/>
                <w:szCs w:val="32"/>
              </w:rPr>
              <w:t>经整理的织物。</w:t>
            </w: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br/>
              <w:t xml:space="preserve">2. </w:t>
            </w:r>
            <w:r>
              <w:rPr>
                <w:rFonts w:ascii="Times New Roman" w:eastAsia="方正仿宋_GBK" w:hAnsi="Times New Roman" w:cs="Times New Roman"/>
                <w:sz w:val="32"/>
                <w:szCs w:val="32"/>
              </w:rPr>
              <w:t>在可见位置的刺绣、修饰或印花。</w:t>
            </w: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并且区域价值成分不少于</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64</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鞋靴、护腿和类似品及其零件</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从任何其他品目改变至本章，或者区域价值成分</w:t>
            </w:r>
            <w:r>
              <w:rPr>
                <w:rFonts w:ascii="Times New Roman" w:eastAsia="方正仿宋_GBK" w:hAnsi="Times New Roman" w:cs="Times New Roman"/>
                <w:sz w:val="32"/>
                <w:szCs w:val="32"/>
              </w:rPr>
              <w:t>40%</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65</w:t>
            </w:r>
            <w:r>
              <w:rPr>
                <w:rFonts w:ascii="Times New Roman" w:eastAsia="方正仿宋_GBK" w:hAnsi="Times New Roman" w:cs="Times New Roman"/>
                <w:sz w:val="32"/>
                <w:szCs w:val="32"/>
              </w:rPr>
              <w:t>章</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帽类及其零件</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从任何其他品目改变至本章，或者区域价值成分</w:t>
            </w:r>
            <w:r>
              <w:rPr>
                <w:rFonts w:ascii="Times New Roman" w:eastAsia="方正仿宋_GBK" w:hAnsi="Times New Roman" w:cs="Times New Roman"/>
                <w:sz w:val="32"/>
                <w:szCs w:val="32"/>
              </w:rPr>
              <w:t>40%</w:t>
            </w:r>
          </w:p>
        </w:tc>
      </w:tr>
      <w:tr w:rsidR="00B56F36">
        <w:trPr>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7019.90</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玻璃纤维（包括玻璃棉）及其制品（例如，玻璃纤维纱线及其织物）</w:t>
            </w:r>
          </w:p>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其他</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从任何其他子目改变至本子目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7113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贵金属或包贵金属制的首饰及其零件</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7114</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贵金属或包贵金属制的金银器及其零件</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7115</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贵金属或包贵金属的其它制品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7116</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用天然或养殖珍珠、宝石或半宝石（天然、合成或再造）制成的物品</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7117</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仿首饰</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从任何其他品目改变至本品目，或者区域价值成分</w:t>
            </w:r>
            <w:r>
              <w:rPr>
                <w:rFonts w:ascii="Times New Roman" w:eastAsia="方正仿宋_GBK" w:hAnsi="Times New Roman" w:cs="Times New Roman"/>
                <w:sz w:val="32"/>
                <w:szCs w:val="32"/>
              </w:rPr>
              <w:t>35%</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9701</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油画、粉画及其他手绘画，但带有手工绘制及手工描饰的制品或品目</w:t>
            </w:r>
            <w:r>
              <w:rPr>
                <w:rFonts w:ascii="Times New Roman" w:eastAsia="方正仿宋_GBK" w:hAnsi="Times New Roman" w:cs="Times New Roman"/>
                <w:sz w:val="32"/>
                <w:szCs w:val="32"/>
              </w:rPr>
              <w:t>4906</w:t>
            </w:r>
            <w:r>
              <w:rPr>
                <w:rFonts w:ascii="Times New Roman" w:eastAsia="方正仿宋_GBK" w:hAnsi="Times New Roman" w:cs="Times New Roman"/>
                <w:sz w:val="32"/>
                <w:szCs w:val="32"/>
              </w:rPr>
              <w:t>的图纸除外；拼贴画、镶嵌画及类似装饰板</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9702</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雕版画、印制画、石印画的原本</w:t>
            </w:r>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r w:rsidR="00B56F36">
        <w:trPr>
          <w:cantSplit/>
          <w:trHeight w:val="454"/>
          <w:jc w:val="center"/>
        </w:trPr>
        <w:tc>
          <w:tcPr>
            <w:tcW w:w="1530" w:type="dxa"/>
            <w:tcBorders>
              <w:top w:val="single" w:sz="4" w:space="0" w:color="auto"/>
              <w:left w:val="single" w:sz="4" w:space="0" w:color="auto"/>
              <w:right w:val="single" w:sz="4" w:space="0" w:color="auto"/>
            </w:tcBorders>
            <w:noWrap/>
            <w:vAlign w:val="center"/>
          </w:tcPr>
          <w:p w:rsidR="00B56F36" w:rsidRDefault="00B41A24">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9703</w:t>
            </w:r>
          </w:p>
        </w:tc>
        <w:tc>
          <w:tcPr>
            <w:tcW w:w="4459" w:type="dxa"/>
            <w:tcBorders>
              <w:top w:val="single" w:sz="4" w:space="0" w:color="auto"/>
              <w:left w:val="single" w:sz="4" w:space="0" w:color="auto"/>
              <w:right w:val="single" w:sz="4" w:space="0" w:color="auto"/>
            </w:tcBorders>
            <w:vAlign w:val="center"/>
          </w:tcPr>
          <w:p w:rsidR="00B56F36" w:rsidRDefault="00B41A24">
            <w:pPr>
              <w:spacing w:line="560" w:lineRule="exact"/>
              <w:rPr>
                <w:rFonts w:ascii="Times New Roman" w:eastAsia="方正仿宋_GBK" w:hAnsi="Times New Roman" w:cs="Times New Roman"/>
                <w:sz w:val="32"/>
                <w:szCs w:val="32"/>
              </w:rPr>
            </w:pPr>
            <w:bookmarkStart w:id="1" w:name="RANGE!D125"/>
            <w:r>
              <w:rPr>
                <w:rFonts w:ascii="Times New Roman" w:eastAsia="方正仿宋_GBK" w:hAnsi="Times New Roman" w:cs="Times New Roman"/>
                <w:sz w:val="32"/>
                <w:szCs w:val="32"/>
              </w:rPr>
              <w:t>各种材料制的雕塑品原件</w:t>
            </w:r>
            <w:bookmarkEnd w:id="1"/>
          </w:p>
        </w:tc>
        <w:tc>
          <w:tcPr>
            <w:tcW w:w="3006" w:type="dxa"/>
            <w:vAlign w:val="center"/>
          </w:tcPr>
          <w:p w:rsidR="00B56F36" w:rsidRDefault="00B41A24">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从任何其他品目改变至本品目</w:t>
            </w:r>
          </w:p>
        </w:tc>
      </w:tr>
    </w:tbl>
    <w:p w:rsidR="00B56F36" w:rsidRDefault="00B56F36">
      <w:pPr>
        <w:spacing w:line="560" w:lineRule="exact"/>
        <w:rPr>
          <w:rFonts w:ascii="Times New Roman" w:eastAsia="方正仿宋_GBK" w:hAnsi="Times New Roman" w:cs="Times New Roman"/>
          <w:sz w:val="32"/>
          <w:szCs w:val="32"/>
        </w:rPr>
      </w:pPr>
    </w:p>
    <w:sectPr w:rsidR="00B56F36">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24" w:rsidRDefault="00B41A24">
      <w:r>
        <w:separator/>
      </w:r>
    </w:p>
  </w:endnote>
  <w:endnote w:type="continuationSeparator" w:id="0">
    <w:p w:rsidR="00B41A24" w:rsidRDefault="00B4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36" w:rsidRDefault="00B41A24">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w:instrText>
    </w:r>
    <w:r>
      <w:rPr>
        <w:rFonts w:ascii="Times New Roman" w:hAnsi="Times New Roman" w:cs="Times New Roman"/>
        <w:sz w:val="21"/>
        <w:szCs w:val="21"/>
      </w:rPr>
      <w:instrText>MERGEFORMAT</w:instrText>
    </w:r>
    <w:r>
      <w:rPr>
        <w:rFonts w:ascii="Times New Roman" w:hAnsi="Times New Roman" w:cs="Times New Roman"/>
        <w:sz w:val="21"/>
        <w:szCs w:val="21"/>
      </w:rPr>
      <w:fldChar w:fldCharType="separate"/>
    </w:r>
    <w:r w:rsidR="00A51FFF" w:rsidRPr="00A51FFF">
      <w:rPr>
        <w:rFonts w:ascii="Times New Roman" w:hAnsi="Times New Roman" w:cs="Times New Roman"/>
        <w:noProof/>
        <w:sz w:val="21"/>
        <w:szCs w:val="21"/>
        <w:lang w:val="zh-CN"/>
      </w:rPr>
      <w:t>- 1 -</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24" w:rsidRDefault="00B41A24">
      <w:r>
        <w:separator/>
      </w:r>
    </w:p>
  </w:footnote>
  <w:footnote w:type="continuationSeparator" w:id="0">
    <w:p w:rsidR="00B41A24" w:rsidRDefault="00B41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B56F36"/>
    <w:rsid w:val="00A51FFF"/>
    <w:rsid w:val="00B41A24"/>
    <w:rsid w:val="00B56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
    <w:basedOn w:val="a"/>
    <w:pPr>
      <w:keepNext/>
      <w:keepLines/>
      <w:widowControl/>
      <w:spacing w:beforeLines="100" w:before="100" w:afterLines="100" w:after="100"/>
      <w:jc w:val="center"/>
      <w:outlineLvl w:val="0"/>
    </w:pPr>
    <w:rPr>
      <w:rFonts w:ascii="Times New Roman" w:eastAsia="黑体" w:hAnsi="Times New Roman"/>
      <w:b/>
      <w:sz w:val="32"/>
      <w:szCs w:val="32"/>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annotation reference"/>
    <w:basedOn w:val="a0"/>
    <w:rPr>
      <w:sz w:val="21"/>
      <w:szCs w:val="21"/>
    </w:rPr>
  </w:style>
  <w:style w:type="paragraph" w:styleId="a7">
    <w:name w:val="annotation text"/>
    <w:basedOn w:val="a"/>
    <w:pPr>
      <w:jc w:val="left"/>
    </w:pPr>
  </w:style>
  <w:style w:type="paragraph" w:styleId="a8">
    <w:name w:val="annotation subject"/>
    <w:basedOn w:val="a7"/>
    <w:next w:val="a7"/>
    <w:rPr>
      <w:b/>
      <w:bCs/>
    </w:rPr>
  </w:style>
  <w:style w:type="paragraph" w:styleId="a9">
    <w:name w:val="Balloon Text"/>
    <w:basedOn w:val="a"/>
    <w:rPr>
      <w:sz w:val="18"/>
      <w:szCs w:val="18"/>
    </w:rPr>
  </w:style>
  <w:style w:type="paragraph" w:customStyle="1" w:styleId="10">
    <w:name w:val="修订1"/>
    <w:rPr>
      <w:rFonts w:ascii="Calibri" w:hAnsi="Calibri" w:cs="Arial"/>
      <w:kern w:val="2"/>
      <w:sz w:val="21"/>
      <w:szCs w:val="22"/>
    </w:rPr>
  </w:style>
  <w:style w:type="paragraph" w:customStyle="1" w:styleId="11">
    <w:name w:val="样式 11 磅"/>
    <w:pPr>
      <w:spacing w:after="160" w:line="259" w:lineRule="auto"/>
    </w:pPr>
    <w:rPr>
      <w:rFonts w:ascii="等线" w:eastAsia="等线" w:cs="Arial"/>
      <w:sz w:val="22"/>
      <w:szCs w:val="22"/>
      <w:lang w:val="en-GB" w:eastAsia="en-GB"/>
    </w:rPr>
  </w:style>
  <w:style w:type="paragraph" w:customStyle="1" w:styleId="100">
    <w:name w:val="样式 10 磅"/>
    <w:pPr>
      <w:widowControl w:val="0"/>
      <w:jc w:val="both"/>
    </w:pPr>
    <w:rPr>
      <w:rFonts w:ascii="Calibri" w:hAnsi="Calibri" w:cs="Arial"/>
      <w:kern w:val="2"/>
      <w:sz w:val="21"/>
      <w:szCs w:val="22"/>
    </w:rPr>
  </w:style>
  <w:style w:type="paragraph" w:customStyle="1" w:styleId="110">
    <w:name w:val="样式 1 10 磅"/>
    <w:pPr>
      <w:widowControl w:val="0"/>
      <w:jc w:val="both"/>
    </w:pPr>
    <w:rPr>
      <w:rFonts w:ascii="Calibri" w:hAnsi="Calibri" w:cs="Arial"/>
      <w:kern w:val="2"/>
      <w:sz w:val="21"/>
      <w:szCs w:val="22"/>
    </w:rPr>
  </w:style>
  <w:style w:type="paragraph" w:customStyle="1" w:styleId="210">
    <w:name w:val="样式 2 10 磅"/>
    <w:pPr>
      <w:widowControl w:val="0"/>
      <w:jc w:val="both"/>
    </w:pPr>
    <w:rPr>
      <w:rFonts w:ascii="Calibri" w:hAnsi="Calibri" w:cs="Arial"/>
      <w:kern w:val="2"/>
      <w:sz w:val="21"/>
      <w:szCs w:val="22"/>
    </w:rPr>
  </w:style>
  <w:style w:type="paragraph" w:customStyle="1" w:styleId="310">
    <w:name w:val="样式 3 10 磅"/>
    <w:pPr>
      <w:widowControl w:val="0"/>
      <w:jc w:val="both"/>
    </w:pPr>
    <w:rPr>
      <w:rFonts w:ascii="Calibri" w:hAnsi="Calibri" w:cs="Arial"/>
      <w:kern w:val="2"/>
      <w:sz w:val="21"/>
      <w:szCs w:val="22"/>
    </w:rPr>
  </w:style>
  <w:style w:type="paragraph" w:customStyle="1" w:styleId="111">
    <w:name w:val="样式 1 11 磅"/>
    <w:pPr>
      <w:spacing w:after="160" w:line="259" w:lineRule="auto"/>
    </w:pPr>
    <w:rPr>
      <w:rFonts w:ascii="等线" w:eastAsia="等线" w:cs="Arial"/>
      <w:sz w:val="22"/>
      <w:szCs w:val="22"/>
      <w:lang w:val="en-GB" w:eastAsia="en-GB"/>
    </w:rPr>
  </w:style>
  <w:style w:type="paragraph" w:customStyle="1" w:styleId="211">
    <w:name w:val="样式 2 11 磅"/>
    <w:pPr>
      <w:spacing w:after="160" w:line="259" w:lineRule="auto"/>
    </w:pPr>
    <w:rPr>
      <w:rFonts w:ascii="等线" w:eastAsia="等线" w:cs="Arial"/>
      <w:sz w:val="22"/>
      <w:szCs w:val="22"/>
      <w:lang w:val="en-GB" w:eastAsia="en-GB"/>
    </w:rPr>
  </w:style>
  <w:style w:type="paragraph" w:customStyle="1" w:styleId="311">
    <w:name w:val="样式 3 11 磅"/>
    <w:pPr>
      <w:spacing w:after="160" w:line="259" w:lineRule="auto"/>
    </w:pPr>
    <w:rPr>
      <w:rFonts w:ascii="等线" w:eastAsia="等线" w:cs="Arial"/>
      <w:sz w:val="22"/>
      <w:szCs w:val="22"/>
      <w:lang w:val="en-GB" w:eastAsia="en-GB"/>
    </w:rPr>
  </w:style>
  <w:style w:type="paragraph" w:customStyle="1" w:styleId="411">
    <w:name w:val="样式 4 11 磅"/>
    <w:pPr>
      <w:spacing w:after="160" w:line="259" w:lineRule="auto"/>
    </w:pPr>
    <w:rPr>
      <w:rFonts w:ascii="等线" w:eastAsia="等线" w:cs="Arial"/>
      <w:sz w:val="22"/>
      <w:szCs w:val="22"/>
      <w:lang w:val="en-GB" w:eastAsia="en-GB"/>
    </w:rPr>
  </w:style>
  <w:style w:type="paragraph" w:customStyle="1" w:styleId="511">
    <w:name w:val="样式 5 11 磅"/>
    <w:pPr>
      <w:spacing w:after="160" w:line="259" w:lineRule="auto"/>
    </w:pPr>
    <w:rPr>
      <w:rFonts w:ascii="等线" w:eastAsia="等线" w:cs="Arial"/>
      <w:sz w:val="22"/>
      <w:szCs w:val="22"/>
      <w:lang w:val="en-GB" w:eastAsia="en-GB"/>
    </w:rPr>
  </w:style>
  <w:style w:type="paragraph" w:customStyle="1" w:styleId="611">
    <w:name w:val="样式 6 11 磅"/>
    <w:pPr>
      <w:spacing w:after="160" w:line="259" w:lineRule="auto"/>
    </w:pPr>
    <w:rPr>
      <w:rFonts w:ascii="等线" w:eastAsia="等线" w:cs="Arial"/>
      <w:sz w:val="22"/>
      <w:szCs w:val="22"/>
      <w:lang w:val="en-GB" w:eastAsia="en-GB"/>
    </w:rPr>
  </w:style>
  <w:style w:type="paragraph" w:customStyle="1" w:styleId="711">
    <w:name w:val="样式 7 11 磅"/>
    <w:pPr>
      <w:spacing w:after="160" w:line="259" w:lineRule="auto"/>
    </w:pPr>
    <w:rPr>
      <w:rFonts w:ascii="等线" w:eastAsia="等线" w:cs="Arial"/>
      <w:sz w:val="22"/>
      <w:szCs w:val="22"/>
      <w:lang w:val="en-GB" w:eastAsia="en-GB"/>
    </w:rPr>
  </w:style>
  <w:style w:type="paragraph" w:customStyle="1" w:styleId="811">
    <w:name w:val="样式 8 11 磅"/>
    <w:pPr>
      <w:spacing w:after="160" w:line="259" w:lineRule="auto"/>
    </w:pPr>
    <w:rPr>
      <w:rFonts w:ascii="等线" w:eastAsia="等线" w:cs="Arial"/>
      <w:sz w:val="22"/>
      <w:szCs w:val="22"/>
      <w:lang w:val="en-GB" w:eastAsia="en-GB"/>
    </w:rPr>
  </w:style>
  <w:style w:type="paragraph" w:customStyle="1" w:styleId="911">
    <w:name w:val="样式 9 11 磅"/>
    <w:pPr>
      <w:spacing w:after="160" w:line="259" w:lineRule="auto"/>
    </w:pPr>
    <w:rPr>
      <w:rFonts w:ascii="等线" w:eastAsia="等线"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
    <w:basedOn w:val="a"/>
    <w:pPr>
      <w:keepNext/>
      <w:keepLines/>
      <w:widowControl/>
      <w:spacing w:beforeLines="100" w:before="100" w:afterLines="100" w:after="100"/>
      <w:jc w:val="center"/>
      <w:outlineLvl w:val="0"/>
    </w:pPr>
    <w:rPr>
      <w:rFonts w:ascii="Times New Roman" w:eastAsia="黑体" w:hAnsi="Times New Roman"/>
      <w:b/>
      <w:sz w:val="32"/>
      <w:szCs w:val="32"/>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annotation reference"/>
    <w:basedOn w:val="a0"/>
    <w:rPr>
      <w:sz w:val="21"/>
      <w:szCs w:val="21"/>
    </w:rPr>
  </w:style>
  <w:style w:type="paragraph" w:styleId="a7">
    <w:name w:val="annotation text"/>
    <w:basedOn w:val="a"/>
    <w:pPr>
      <w:jc w:val="left"/>
    </w:pPr>
  </w:style>
  <w:style w:type="paragraph" w:styleId="a8">
    <w:name w:val="annotation subject"/>
    <w:basedOn w:val="a7"/>
    <w:next w:val="a7"/>
    <w:rPr>
      <w:b/>
      <w:bCs/>
    </w:rPr>
  </w:style>
  <w:style w:type="paragraph" w:styleId="a9">
    <w:name w:val="Balloon Text"/>
    <w:basedOn w:val="a"/>
    <w:rPr>
      <w:sz w:val="18"/>
      <w:szCs w:val="18"/>
    </w:rPr>
  </w:style>
  <w:style w:type="paragraph" w:customStyle="1" w:styleId="10">
    <w:name w:val="修订1"/>
    <w:rPr>
      <w:rFonts w:ascii="Calibri" w:hAnsi="Calibri" w:cs="Arial"/>
      <w:kern w:val="2"/>
      <w:sz w:val="21"/>
      <w:szCs w:val="22"/>
    </w:rPr>
  </w:style>
  <w:style w:type="paragraph" w:customStyle="1" w:styleId="11">
    <w:name w:val="样式 11 磅"/>
    <w:pPr>
      <w:spacing w:after="160" w:line="259" w:lineRule="auto"/>
    </w:pPr>
    <w:rPr>
      <w:rFonts w:ascii="等线" w:eastAsia="等线" w:cs="Arial"/>
      <w:sz w:val="22"/>
      <w:szCs w:val="22"/>
      <w:lang w:val="en-GB" w:eastAsia="en-GB"/>
    </w:rPr>
  </w:style>
  <w:style w:type="paragraph" w:customStyle="1" w:styleId="100">
    <w:name w:val="样式 10 磅"/>
    <w:pPr>
      <w:widowControl w:val="0"/>
      <w:jc w:val="both"/>
    </w:pPr>
    <w:rPr>
      <w:rFonts w:ascii="Calibri" w:hAnsi="Calibri" w:cs="Arial"/>
      <w:kern w:val="2"/>
      <w:sz w:val="21"/>
      <w:szCs w:val="22"/>
    </w:rPr>
  </w:style>
  <w:style w:type="paragraph" w:customStyle="1" w:styleId="110">
    <w:name w:val="样式 1 10 磅"/>
    <w:pPr>
      <w:widowControl w:val="0"/>
      <w:jc w:val="both"/>
    </w:pPr>
    <w:rPr>
      <w:rFonts w:ascii="Calibri" w:hAnsi="Calibri" w:cs="Arial"/>
      <w:kern w:val="2"/>
      <w:sz w:val="21"/>
      <w:szCs w:val="22"/>
    </w:rPr>
  </w:style>
  <w:style w:type="paragraph" w:customStyle="1" w:styleId="210">
    <w:name w:val="样式 2 10 磅"/>
    <w:pPr>
      <w:widowControl w:val="0"/>
      <w:jc w:val="both"/>
    </w:pPr>
    <w:rPr>
      <w:rFonts w:ascii="Calibri" w:hAnsi="Calibri" w:cs="Arial"/>
      <w:kern w:val="2"/>
      <w:sz w:val="21"/>
      <w:szCs w:val="22"/>
    </w:rPr>
  </w:style>
  <w:style w:type="paragraph" w:customStyle="1" w:styleId="310">
    <w:name w:val="样式 3 10 磅"/>
    <w:pPr>
      <w:widowControl w:val="0"/>
      <w:jc w:val="both"/>
    </w:pPr>
    <w:rPr>
      <w:rFonts w:ascii="Calibri" w:hAnsi="Calibri" w:cs="Arial"/>
      <w:kern w:val="2"/>
      <w:sz w:val="21"/>
      <w:szCs w:val="22"/>
    </w:rPr>
  </w:style>
  <w:style w:type="paragraph" w:customStyle="1" w:styleId="111">
    <w:name w:val="样式 1 11 磅"/>
    <w:pPr>
      <w:spacing w:after="160" w:line="259" w:lineRule="auto"/>
    </w:pPr>
    <w:rPr>
      <w:rFonts w:ascii="等线" w:eastAsia="等线" w:cs="Arial"/>
      <w:sz w:val="22"/>
      <w:szCs w:val="22"/>
      <w:lang w:val="en-GB" w:eastAsia="en-GB"/>
    </w:rPr>
  </w:style>
  <w:style w:type="paragraph" w:customStyle="1" w:styleId="211">
    <w:name w:val="样式 2 11 磅"/>
    <w:pPr>
      <w:spacing w:after="160" w:line="259" w:lineRule="auto"/>
    </w:pPr>
    <w:rPr>
      <w:rFonts w:ascii="等线" w:eastAsia="等线" w:cs="Arial"/>
      <w:sz w:val="22"/>
      <w:szCs w:val="22"/>
      <w:lang w:val="en-GB" w:eastAsia="en-GB"/>
    </w:rPr>
  </w:style>
  <w:style w:type="paragraph" w:customStyle="1" w:styleId="311">
    <w:name w:val="样式 3 11 磅"/>
    <w:pPr>
      <w:spacing w:after="160" w:line="259" w:lineRule="auto"/>
    </w:pPr>
    <w:rPr>
      <w:rFonts w:ascii="等线" w:eastAsia="等线" w:cs="Arial"/>
      <w:sz w:val="22"/>
      <w:szCs w:val="22"/>
      <w:lang w:val="en-GB" w:eastAsia="en-GB"/>
    </w:rPr>
  </w:style>
  <w:style w:type="paragraph" w:customStyle="1" w:styleId="411">
    <w:name w:val="样式 4 11 磅"/>
    <w:pPr>
      <w:spacing w:after="160" w:line="259" w:lineRule="auto"/>
    </w:pPr>
    <w:rPr>
      <w:rFonts w:ascii="等线" w:eastAsia="等线" w:cs="Arial"/>
      <w:sz w:val="22"/>
      <w:szCs w:val="22"/>
      <w:lang w:val="en-GB" w:eastAsia="en-GB"/>
    </w:rPr>
  </w:style>
  <w:style w:type="paragraph" w:customStyle="1" w:styleId="511">
    <w:name w:val="样式 5 11 磅"/>
    <w:pPr>
      <w:spacing w:after="160" w:line="259" w:lineRule="auto"/>
    </w:pPr>
    <w:rPr>
      <w:rFonts w:ascii="等线" w:eastAsia="等线" w:cs="Arial"/>
      <w:sz w:val="22"/>
      <w:szCs w:val="22"/>
      <w:lang w:val="en-GB" w:eastAsia="en-GB"/>
    </w:rPr>
  </w:style>
  <w:style w:type="paragraph" w:customStyle="1" w:styleId="611">
    <w:name w:val="样式 6 11 磅"/>
    <w:pPr>
      <w:spacing w:after="160" w:line="259" w:lineRule="auto"/>
    </w:pPr>
    <w:rPr>
      <w:rFonts w:ascii="等线" w:eastAsia="等线" w:cs="Arial"/>
      <w:sz w:val="22"/>
      <w:szCs w:val="22"/>
      <w:lang w:val="en-GB" w:eastAsia="en-GB"/>
    </w:rPr>
  </w:style>
  <w:style w:type="paragraph" w:customStyle="1" w:styleId="711">
    <w:name w:val="样式 7 11 磅"/>
    <w:pPr>
      <w:spacing w:after="160" w:line="259" w:lineRule="auto"/>
    </w:pPr>
    <w:rPr>
      <w:rFonts w:ascii="等线" w:eastAsia="等线" w:cs="Arial"/>
      <w:sz w:val="22"/>
      <w:szCs w:val="22"/>
      <w:lang w:val="en-GB" w:eastAsia="en-GB"/>
    </w:rPr>
  </w:style>
  <w:style w:type="paragraph" w:customStyle="1" w:styleId="811">
    <w:name w:val="样式 8 11 磅"/>
    <w:pPr>
      <w:spacing w:after="160" w:line="259" w:lineRule="auto"/>
    </w:pPr>
    <w:rPr>
      <w:rFonts w:ascii="等线" w:eastAsia="等线" w:cs="Arial"/>
      <w:sz w:val="22"/>
      <w:szCs w:val="22"/>
      <w:lang w:val="en-GB" w:eastAsia="en-GB"/>
    </w:rPr>
  </w:style>
  <w:style w:type="paragraph" w:customStyle="1" w:styleId="911">
    <w:name w:val="样式 9 11 磅"/>
    <w:pPr>
      <w:spacing w:after="160" w:line="259" w:lineRule="auto"/>
    </w:pPr>
    <w:rPr>
      <w:rFonts w:ascii="等线" w:eastAsia="等线"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Company>Microsoft</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吴超-海关总署税收征管局（上海）</dc:creator>
  <cp:lastModifiedBy>admin1</cp:lastModifiedBy>
  <cp:revision>2</cp:revision>
  <dcterms:created xsi:type="dcterms:W3CDTF">2024-12-31T02:14:00Z</dcterms:created>
  <dcterms:modified xsi:type="dcterms:W3CDTF">2024-12-31T02:14:00Z</dcterms:modified>
</cp:coreProperties>
</file>